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9" w:type="dxa"/>
        <w:tblBorders>
          <w:top w:val="single" w:sz="4" w:space="0" w:color="auto"/>
          <w:insideH w:val="single" w:sz="4" w:space="0" w:color="auto"/>
        </w:tblBorders>
        <w:tblCellMar>
          <w:left w:w="0" w:type="dxa"/>
          <w:right w:w="0" w:type="dxa"/>
        </w:tblCellMar>
        <w:tblLook w:val="0000" w:firstRow="0" w:lastRow="0" w:firstColumn="0" w:lastColumn="0" w:noHBand="0" w:noVBand="0"/>
      </w:tblPr>
      <w:tblGrid>
        <w:gridCol w:w="1681"/>
        <w:gridCol w:w="5596"/>
        <w:gridCol w:w="2803"/>
      </w:tblGrid>
      <w:tr w:rsidR="00936704" w:rsidTr="00520A95">
        <w:tc>
          <w:tcPr>
            <w:tcW w:w="1681" w:type="dxa"/>
            <w:tcBorders>
              <w:bottom w:val="single" w:sz="4" w:space="0" w:color="auto"/>
            </w:tcBorders>
            <w:shd w:val="clear" w:color="auto" w:fill="000000"/>
          </w:tcPr>
          <w:p w:rsidR="00936704" w:rsidRPr="00520A95" w:rsidRDefault="00520A95" w:rsidP="00B91155">
            <w:pPr>
              <w:jc w:val="center"/>
              <w:rPr>
                <w:b/>
                <w:color w:val="FFFFFF"/>
                <w:sz w:val="40"/>
              </w:rPr>
            </w:pPr>
            <w:r w:rsidRPr="00520A95">
              <w:rPr>
                <w:b/>
                <w:color w:val="FFFFFF"/>
                <w:sz w:val="40"/>
              </w:rPr>
              <w:t>20</w:t>
            </w:r>
            <w:r w:rsidR="00D04FA8">
              <w:rPr>
                <w:b/>
                <w:color w:val="FFFFFF"/>
                <w:sz w:val="40"/>
              </w:rPr>
              <w:t>1</w:t>
            </w:r>
            <w:r w:rsidR="00B5348C">
              <w:rPr>
                <w:b/>
                <w:color w:val="FFFFFF"/>
                <w:sz w:val="40"/>
              </w:rPr>
              <w:t>6</w:t>
            </w:r>
            <w:r w:rsidRPr="00520A95">
              <w:rPr>
                <w:b/>
                <w:color w:val="FFFFFF"/>
                <w:sz w:val="40"/>
              </w:rPr>
              <w:t>-</w:t>
            </w:r>
            <w:r w:rsidR="001C05B2">
              <w:rPr>
                <w:b/>
                <w:color w:val="FFFFFF"/>
                <w:sz w:val="40"/>
              </w:rPr>
              <w:t>01</w:t>
            </w:r>
          </w:p>
        </w:tc>
        <w:tc>
          <w:tcPr>
            <w:tcW w:w="5596" w:type="dxa"/>
            <w:tcBorders>
              <w:bottom w:val="single" w:sz="4" w:space="0" w:color="auto"/>
            </w:tcBorders>
            <w:vAlign w:val="center"/>
          </w:tcPr>
          <w:p w:rsidR="00936704" w:rsidRDefault="00B91155" w:rsidP="00B5348C">
            <w:pPr>
              <w:ind w:left="109"/>
              <w:rPr>
                <w:b/>
                <w:color w:val="000000"/>
              </w:rPr>
            </w:pPr>
            <w:r>
              <w:rPr>
                <w:b/>
                <w:color w:val="000000"/>
              </w:rPr>
              <w:t xml:space="preserve">March </w:t>
            </w:r>
            <w:r w:rsidR="00B5348C">
              <w:rPr>
                <w:b/>
                <w:color w:val="000000"/>
              </w:rPr>
              <w:t>29, 2016</w:t>
            </w:r>
          </w:p>
        </w:tc>
        <w:tc>
          <w:tcPr>
            <w:tcW w:w="2803" w:type="dxa"/>
            <w:tcBorders>
              <w:bottom w:val="single" w:sz="4" w:space="0" w:color="auto"/>
            </w:tcBorders>
            <w:vAlign w:val="center"/>
          </w:tcPr>
          <w:p w:rsidR="00936704" w:rsidRDefault="00017DE6" w:rsidP="00F975F9">
            <w:pPr>
              <w:ind w:right="100"/>
              <w:jc w:val="right"/>
              <w:rPr>
                <w:b/>
                <w:color w:val="000000"/>
              </w:rPr>
            </w:pPr>
            <w:r>
              <w:rPr>
                <w:b/>
                <w:color w:val="000000"/>
              </w:rPr>
              <w:t xml:space="preserve">By </w:t>
            </w:r>
            <w:r w:rsidR="00520A95">
              <w:rPr>
                <w:b/>
                <w:color w:val="000000"/>
              </w:rPr>
              <w:t>E-mail</w:t>
            </w:r>
            <w:r>
              <w:rPr>
                <w:b/>
                <w:color w:val="000000"/>
              </w:rPr>
              <w:t xml:space="preserve">: </w:t>
            </w:r>
            <w:r w:rsidR="00F975F9">
              <w:rPr>
                <w:b/>
                <w:color w:val="000000"/>
              </w:rPr>
              <w:t>Two</w:t>
            </w:r>
            <w:r>
              <w:rPr>
                <w:b/>
                <w:color w:val="000000"/>
              </w:rPr>
              <w:t xml:space="preserve"> Pages</w:t>
            </w:r>
          </w:p>
        </w:tc>
      </w:tr>
      <w:tr w:rsidR="00936704">
        <w:trPr>
          <w:trHeight w:val="663"/>
        </w:trPr>
        <w:tc>
          <w:tcPr>
            <w:tcW w:w="10080" w:type="dxa"/>
            <w:gridSpan w:val="3"/>
            <w:tcBorders>
              <w:bottom w:val="nil"/>
            </w:tcBorders>
          </w:tcPr>
          <w:p w:rsidR="00936704" w:rsidRDefault="00936704">
            <w:pPr>
              <w:ind w:right="100"/>
              <w:jc w:val="right"/>
              <w:rPr>
                <w:b/>
                <w:color w:val="000000"/>
              </w:rPr>
            </w:pPr>
          </w:p>
        </w:tc>
      </w:tr>
    </w:tbl>
    <w:p w:rsidR="00936704" w:rsidRDefault="00936704">
      <w:pPr>
        <w:sectPr w:rsidR="00936704" w:rsidSect="002C37C8">
          <w:headerReference w:type="default" r:id="rId8"/>
          <w:headerReference w:type="first" r:id="rId9"/>
          <w:footerReference w:type="first" r:id="rId10"/>
          <w:type w:val="continuous"/>
          <w:pgSz w:w="12240" w:h="15840" w:code="1"/>
          <w:pgMar w:top="2880" w:right="1080" w:bottom="792" w:left="1080" w:header="864" w:footer="792" w:gutter="0"/>
          <w:cols w:space="720"/>
          <w:titlePg/>
          <w:docGrid w:linePitch="326"/>
        </w:sectPr>
      </w:pPr>
    </w:p>
    <w:p w:rsidR="00B91155" w:rsidRPr="00B91155" w:rsidRDefault="00B91155" w:rsidP="00B91155">
      <w:pPr>
        <w:tabs>
          <w:tab w:val="left" w:pos="720"/>
          <w:tab w:val="center" w:pos="4320"/>
          <w:tab w:val="right" w:pos="8640"/>
        </w:tabs>
        <w:rPr>
          <w:rFonts w:cs="Arial"/>
          <w:b/>
          <w:bCs/>
          <w:sz w:val="28"/>
          <w:szCs w:val="28"/>
        </w:rPr>
      </w:pPr>
      <w:r w:rsidRPr="00B91155">
        <w:rPr>
          <w:rFonts w:cs="Arial"/>
          <w:b/>
          <w:bCs/>
          <w:sz w:val="28"/>
          <w:szCs w:val="28"/>
        </w:rPr>
        <w:lastRenderedPageBreak/>
        <w:t>Layoffs — Legislative Requirements</w:t>
      </w:r>
    </w:p>
    <w:p w:rsidR="00B91155" w:rsidRPr="00B91155" w:rsidRDefault="00B91155" w:rsidP="00B91155">
      <w:pPr>
        <w:rPr>
          <w:rFonts w:cs="Arial"/>
          <w:sz w:val="22"/>
          <w:szCs w:val="22"/>
        </w:rPr>
      </w:pPr>
    </w:p>
    <w:p w:rsidR="00B91155" w:rsidRPr="00B91155" w:rsidRDefault="00B91155" w:rsidP="00B91155">
      <w:pPr>
        <w:tabs>
          <w:tab w:val="left" w:pos="-1177"/>
          <w:tab w:val="left" w:pos="0"/>
        </w:tabs>
        <w:rPr>
          <w:rFonts w:cs="Arial"/>
          <w:sz w:val="22"/>
          <w:szCs w:val="22"/>
          <w:lang w:val="en-GB"/>
        </w:rPr>
      </w:pPr>
      <w:r w:rsidRPr="00B91155">
        <w:rPr>
          <w:rFonts w:cs="Arial"/>
          <w:sz w:val="22"/>
          <w:szCs w:val="22"/>
          <w:lang w:val="en-GB"/>
        </w:rPr>
        <w:t>Boards may be considering the layoff of employees for educational and/or budgetary reasons. The following is a reminder of the processes outlined in legislation that may apply in addition to the processes found in collective agreements.</w:t>
      </w:r>
    </w:p>
    <w:p w:rsidR="00B91155" w:rsidRPr="00B91155" w:rsidRDefault="00B91155" w:rsidP="00B91155">
      <w:pPr>
        <w:numPr>
          <w:ilvl w:val="0"/>
          <w:numId w:val="6"/>
        </w:numPr>
        <w:spacing w:before="240" w:after="60"/>
        <w:outlineLvl w:val="6"/>
        <w:rPr>
          <w:rFonts w:cs="Arial"/>
          <w:i/>
          <w:sz w:val="22"/>
          <w:szCs w:val="22"/>
        </w:rPr>
      </w:pPr>
      <w:proofErr w:type="spellStart"/>
      <w:r w:rsidRPr="00B91155">
        <w:rPr>
          <w:rFonts w:cs="Arial"/>
          <w:b/>
          <w:i/>
          <w:sz w:val="22"/>
          <w:szCs w:val="22"/>
        </w:rPr>
        <w:t>Labour</w:t>
      </w:r>
      <w:proofErr w:type="spellEnd"/>
      <w:r w:rsidRPr="00B91155">
        <w:rPr>
          <w:rFonts w:cs="Arial"/>
          <w:b/>
          <w:i/>
          <w:sz w:val="22"/>
          <w:szCs w:val="22"/>
        </w:rPr>
        <w:t xml:space="preserve"> Relations Code</w:t>
      </w:r>
      <w:bookmarkStart w:id="0" w:name="_GoBack"/>
      <w:bookmarkEnd w:id="0"/>
    </w:p>
    <w:p w:rsidR="00B91155" w:rsidRPr="00B91155" w:rsidRDefault="00B91155" w:rsidP="00B91155">
      <w:pPr>
        <w:tabs>
          <w:tab w:val="left" w:pos="-1177"/>
          <w:tab w:val="left" w:pos="-720"/>
          <w:tab w:val="left" w:pos="0"/>
          <w:tab w:val="left" w:pos="510"/>
          <w:tab w:val="left" w:pos="720"/>
          <w:tab w:val="left" w:pos="1011"/>
          <w:tab w:val="left" w:pos="1440"/>
          <w:tab w:val="left" w:pos="2160"/>
          <w:tab w:val="left" w:pos="2880"/>
          <w:tab w:val="left" w:pos="3600"/>
          <w:tab w:val="left" w:pos="4705"/>
        </w:tabs>
        <w:rPr>
          <w:rFonts w:cs="Arial"/>
          <w:sz w:val="22"/>
          <w:szCs w:val="22"/>
          <w:lang w:val="en-GB"/>
        </w:rPr>
      </w:pPr>
    </w:p>
    <w:p w:rsidR="00B91155" w:rsidRPr="00B91155" w:rsidRDefault="00B91155" w:rsidP="00B91155">
      <w:pPr>
        <w:ind w:left="360"/>
        <w:rPr>
          <w:sz w:val="22"/>
          <w:szCs w:val="22"/>
        </w:rPr>
      </w:pPr>
      <w:r w:rsidRPr="00B91155">
        <w:rPr>
          <w:sz w:val="22"/>
          <w:szCs w:val="22"/>
          <w:lang w:val="en-GB"/>
        </w:rPr>
        <w:t xml:space="preserve">Section 54 of the </w:t>
      </w:r>
      <w:r w:rsidRPr="00B91155">
        <w:rPr>
          <w:i/>
          <w:iCs/>
          <w:sz w:val="22"/>
          <w:szCs w:val="22"/>
          <w:lang w:val="en-GB"/>
        </w:rPr>
        <w:t>Labour Relations Code</w:t>
      </w:r>
      <w:r w:rsidRPr="00B91155">
        <w:rPr>
          <w:sz w:val="22"/>
          <w:szCs w:val="22"/>
          <w:lang w:val="en-GB"/>
        </w:rPr>
        <w:t xml:space="preserve"> </w:t>
      </w:r>
      <w:r w:rsidR="00E12817">
        <w:rPr>
          <w:sz w:val="22"/>
          <w:szCs w:val="22"/>
          <w:lang w:val="en-GB"/>
        </w:rPr>
        <w:t xml:space="preserve">(the Code) </w:t>
      </w:r>
      <w:r w:rsidRPr="00B91155">
        <w:rPr>
          <w:sz w:val="22"/>
          <w:szCs w:val="22"/>
          <w:lang w:val="en-GB"/>
        </w:rPr>
        <w:t>is applicable “</w:t>
      </w:r>
      <w:r w:rsidRPr="00B91155">
        <w:rPr>
          <w:sz w:val="22"/>
          <w:szCs w:val="22"/>
        </w:rPr>
        <w:t>if an employer introduces or intends to introduce a measure, policy, practice or change that affects the terms, conditions or security of employment of a significant number of employees to whom a collective agreement applies.”</w:t>
      </w:r>
      <w:r w:rsidRPr="00B91155">
        <w:rPr>
          <w:lang w:val="en-GB"/>
        </w:rPr>
        <w:t xml:space="preserve"> </w:t>
      </w:r>
    </w:p>
    <w:p w:rsidR="00B91155" w:rsidRPr="00B91155" w:rsidRDefault="00B91155" w:rsidP="00B91155">
      <w:pPr>
        <w:tabs>
          <w:tab w:val="left" w:pos="-1177"/>
          <w:tab w:val="left" w:pos="-720"/>
          <w:tab w:val="left" w:pos="0"/>
          <w:tab w:val="left" w:pos="510"/>
          <w:tab w:val="left" w:pos="720"/>
          <w:tab w:val="left" w:pos="1011"/>
          <w:tab w:val="left" w:pos="1440"/>
          <w:tab w:val="left" w:pos="2160"/>
          <w:tab w:val="left" w:pos="2880"/>
          <w:tab w:val="left" w:pos="3600"/>
          <w:tab w:val="left" w:pos="4705"/>
          <w:tab w:val="right" w:pos="8640"/>
        </w:tabs>
        <w:ind w:left="360"/>
        <w:rPr>
          <w:rFonts w:cs="Arial"/>
          <w:sz w:val="22"/>
          <w:szCs w:val="22"/>
          <w:lang w:val="en-GB"/>
        </w:rPr>
      </w:pPr>
    </w:p>
    <w:p w:rsidR="00B91155" w:rsidRPr="00B91155" w:rsidRDefault="00B91155" w:rsidP="00B91155">
      <w:pPr>
        <w:tabs>
          <w:tab w:val="left" w:pos="-1177"/>
          <w:tab w:val="left" w:pos="-720"/>
          <w:tab w:val="left" w:pos="0"/>
          <w:tab w:val="left" w:pos="510"/>
          <w:tab w:val="left" w:pos="720"/>
          <w:tab w:val="left" w:pos="1011"/>
          <w:tab w:val="left" w:pos="1440"/>
          <w:tab w:val="left" w:pos="2160"/>
          <w:tab w:val="left" w:pos="2880"/>
          <w:tab w:val="left" w:pos="3600"/>
          <w:tab w:val="left" w:pos="4705"/>
        </w:tabs>
        <w:ind w:left="360"/>
        <w:rPr>
          <w:rFonts w:cs="Arial"/>
          <w:b/>
          <w:bCs/>
          <w:sz w:val="22"/>
          <w:szCs w:val="22"/>
          <w:lang w:val="en-GB"/>
        </w:rPr>
      </w:pPr>
      <w:r w:rsidRPr="00B91155">
        <w:rPr>
          <w:rFonts w:cs="Arial"/>
          <w:sz w:val="22"/>
          <w:szCs w:val="22"/>
          <w:lang w:val="en-GB"/>
        </w:rPr>
        <w:t>Particular consideration must be given to determining whether a “</w:t>
      </w:r>
      <w:r w:rsidRPr="00B91155">
        <w:rPr>
          <w:rFonts w:cs="Arial"/>
          <w:b/>
          <w:sz w:val="22"/>
          <w:szCs w:val="22"/>
          <w:lang w:val="en-GB"/>
        </w:rPr>
        <w:t>significant</w:t>
      </w:r>
      <w:r w:rsidRPr="00B91155">
        <w:rPr>
          <w:rFonts w:cs="Arial"/>
          <w:sz w:val="22"/>
          <w:szCs w:val="22"/>
          <w:lang w:val="en-GB"/>
        </w:rPr>
        <w:t xml:space="preserve"> number of employees” have their security of employment affected. The words in section 54 have been given a broad and liberal interpretation. </w:t>
      </w:r>
      <w:proofErr w:type="gramStart"/>
      <w:r w:rsidRPr="00B91155">
        <w:rPr>
          <w:rFonts w:cs="Arial"/>
          <w:sz w:val="22"/>
          <w:szCs w:val="22"/>
          <w:lang w:val="en-GB"/>
        </w:rPr>
        <w:t xml:space="preserve">For example, in </w:t>
      </w:r>
      <w:r w:rsidRPr="00B91155">
        <w:rPr>
          <w:rFonts w:cs="Arial"/>
          <w:i/>
          <w:iCs/>
          <w:sz w:val="22"/>
          <w:szCs w:val="22"/>
          <w:lang w:val="en-GB"/>
        </w:rPr>
        <w:t xml:space="preserve">Pacific Press, </w:t>
      </w:r>
      <w:r w:rsidRPr="00B91155">
        <w:rPr>
          <w:rFonts w:cs="Arial"/>
          <w:sz w:val="22"/>
          <w:szCs w:val="22"/>
          <w:lang w:val="en-GB"/>
        </w:rPr>
        <w:t>BCLRB No.</w:t>
      </w:r>
      <w:proofErr w:type="gramEnd"/>
      <w:r w:rsidRPr="00B91155">
        <w:rPr>
          <w:rFonts w:cs="Arial"/>
          <w:sz w:val="22"/>
          <w:szCs w:val="22"/>
          <w:lang w:val="en-GB"/>
        </w:rPr>
        <w:t xml:space="preserve"> B374/96, the proposed change would have affected approximately 37 employees out of a bargaining unit of 850 (roughly 4%); the Labour Relations Board (LRB) found this to be a significant number in absolute terms (as opposed to percentage of the bargaining unit).</w:t>
      </w:r>
    </w:p>
    <w:p w:rsidR="00B91155" w:rsidRPr="00B91155" w:rsidRDefault="00B91155" w:rsidP="00B91155">
      <w:pPr>
        <w:tabs>
          <w:tab w:val="left" w:pos="-1177"/>
          <w:tab w:val="left" w:pos="-720"/>
          <w:tab w:val="left" w:pos="0"/>
          <w:tab w:val="left" w:pos="510"/>
          <w:tab w:val="left" w:pos="720"/>
          <w:tab w:val="left" w:pos="1011"/>
          <w:tab w:val="left" w:pos="1440"/>
          <w:tab w:val="left" w:pos="2160"/>
          <w:tab w:val="left" w:pos="2880"/>
          <w:tab w:val="left" w:pos="3600"/>
          <w:tab w:val="left" w:pos="4705"/>
        </w:tabs>
        <w:ind w:left="360"/>
        <w:rPr>
          <w:rFonts w:cs="Arial"/>
          <w:b/>
          <w:bCs/>
          <w:sz w:val="22"/>
          <w:szCs w:val="22"/>
          <w:lang w:val="en-GB"/>
        </w:rPr>
      </w:pPr>
    </w:p>
    <w:p w:rsidR="00B91155" w:rsidRPr="00B91155" w:rsidRDefault="00B91155" w:rsidP="00B91155">
      <w:pPr>
        <w:tabs>
          <w:tab w:val="left" w:pos="-1177"/>
          <w:tab w:val="left" w:pos="-720"/>
          <w:tab w:val="left" w:pos="0"/>
          <w:tab w:val="left" w:pos="510"/>
          <w:tab w:val="left" w:pos="720"/>
          <w:tab w:val="left" w:pos="1011"/>
          <w:tab w:val="left" w:pos="1440"/>
          <w:tab w:val="left" w:pos="2160"/>
          <w:tab w:val="left" w:pos="2880"/>
          <w:tab w:val="left" w:pos="3600"/>
          <w:tab w:val="left" w:pos="4705"/>
        </w:tabs>
        <w:ind w:left="360"/>
        <w:rPr>
          <w:rFonts w:cs="Arial"/>
          <w:b/>
          <w:bCs/>
          <w:sz w:val="22"/>
          <w:szCs w:val="22"/>
          <w:lang w:val="en-GB"/>
        </w:rPr>
      </w:pPr>
      <w:r w:rsidRPr="00B91155">
        <w:rPr>
          <w:rFonts w:cs="Arial"/>
          <w:sz w:val="22"/>
          <w:szCs w:val="22"/>
          <w:lang w:val="en-GB"/>
        </w:rPr>
        <w:t xml:space="preserve">Although the section 54 notice may or may not be applicable to your anticipated layoff situation, you may wish to follow the process on a “without prejudice” basis to avoid any potential LRB challenges by your local union. Your letter of notice should include wording such as, “Without prejudice to our position that section 54 of the </w:t>
      </w:r>
      <w:r w:rsidRPr="00B91155">
        <w:rPr>
          <w:rFonts w:cs="Arial"/>
          <w:i/>
          <w:iCs/>
          <w:sz w:val="22"/>
          <w:szCs w:val="22"/>
          <w:lang w:val="en-GB"/>
        </w:rPr>
        <w:t>Labour Relations Code</w:t>
      </w:r>
      <w:r w:rsidRPr="00B91155">
        <w:rPr>
          <w:rFonts w:cs="Arial"/>
          <w:sz w:val="22"/>
          <w:szCs w:val="22"/>
          <w:lang w:val="en-GB"/>
        </w:rPr>
        <w:t xml:space="preserve"> does not apply, we are providing you with notice under section 54, and ask that a meeting be scheduled to discuss layoff issues.”</w:t>
      </w:r>
    </w:p>
    <w:p w:rsidR="00B91155" w:rsidRPr="00B91155" w:rsidRDefault="00B91155" w:rsidP="00B91155">
      <w:pPr>
        <w:tabs>
          <w:tab w:val="left" w:pos="-1177"/>
          <w:tab w:val="left" w:pos="-720"/>
          <w:tab w:val="left" w:pos="0"/>
          <w:tab w:val="left" w:pos="510"/>
          <w:tab w:val="left" w:pos="720"/>
          <w:tab w:val="left" w:pos="1011"/>
          <w:tab w:val="left" w:pos="1440"/>
          <w:tab w:val="left" w:pos="2160"/>
          <w:tab w:val="left" w:pos="2880"/>
          <w:tab w:val="left" w:pos="3600"/>
          <w:tab w:val="left" w:pos="4705"/>
        </w:tabs>
        <w:ind w:left="360"/>
        <w:rPr>
          <w:rFonts w:cs="Arial"/>
          <w:b/>
          <w:bCs/>
          <w:sz w:val="22"/>
          <w:szCs w:val="22"/>
          <w:lang w:val="en-GB"/>
        </w:rPr>
      </w:pPr>
    </w:p>
    <w:p w:rsidR="00B91155" w:rsidRPr="00B91155" w:rsidRDefault="00B91155" w:rsidP="00B91155">
      <w:pPr>
        <w:rPr>
          <w:rFonts w:eastAsia="Arial Unicode MS" w:cs="Arial"/>
          <w:color w:val="000000"/>
          <w:sz w:val="22"/>
          <w:szCs w:val="22"/>
        </w:rPr>
        <w:sectPr w:rsidR="00B91155" w:rsidRPr="00B91155" w:rsidSect="00B91155">
          <w:type w:val="continuous"/>
          <w:pgSz w:w="12240" w:h="15840"/>
          <w:pgMar w:top="2304" w:right="1080" w:bottom="792" w:left="1080" w:header="720" w:footer="720" w:gutter="0"/>
          <w:cols w:space="720"/>
        </w:sectPr>
      </w:pPr>
    </w:p>
    <w:p w:rsidR="00B91155" w:rsidRPr="00B91155" w:rsidRDefault="00B91155" w:rsidP="00431A91">
      <w:pPr>
        <w:tabs>
          <w:tab w:val="left" w:pos="-1177"/>
          <w:tab w:val="left" w:pos="-720"/>
          <w:tab w:val="left" w:pos="0"/>
          <w:tab w:val="left" w:pos="510"/>
          <w:tab w:val="left" w:pos="720"/>
          <w:tab w:val="left" w:pos="1011"/>
          <w:tab w:val="left" w:pos="1440"/>
          <w:tab w:val="left" w:pos="2160"/>
          <w:tab w:val="left" w:pos="2880"/>
          <w:tab w:val="left" w:pos="3600"/>
          <w:tab w:val="left" w:pos="4705"/>
        </w:tabs>
        <w:rPr>
          <w:rFonts w:cs="Arial"/>
          <w:sz w:val="22"/>
          <w:szCs w:val="22"/>
          <w:lang w:val="en-GB"/>
        </w:rPr>
      </w:pPr>
      <w:r w:rsidRPr="00B91155">
        <w:rPr>
          <w:rFonts w:cs="Arial"/>
          <w:sz w:val="22"/>
          <w:szCs w:val="22"/>
          <w:lang w:val="en-GB"/>
        </w:rPr>
        <w:lastRenderedPageBreak/>
        <w:t xml:space="preserve">Section 54 </w:t>
      </w:r>
      <w:proofErr w:type="gramStart"/>
      <w:r w:rsidRPr="00B91155">
        <w:rPr>
          <w:rFonts w:cs="Arial"/>
          <w:sz w:val="22"/>
          <w:szCs w:val="22"/>
          <w:lang w:val="en-GB"/>
        </w:rPr>
        <w:t>notice</w:t>
      </w:r>
      <w:proofErr w:type="gramEnd"/>
      <w:r w:rsidRPr="00B91155">
        <w:rPr>
          <w:rFonts w:cs="Arial"/>
          <w:sz w:val="22"/>
          <w:szCs w:val="22"/>
          <w:lang w:val="en-GB"/>
        </w:rPr>
        <w:t xml:space="preserve"> must provide sufficient time to meet in good faith for meaningful discussions to endeavour to develop an adjustment plan. Notice should be given when you reasonably know what will be the final decision, but before the final decision is made. The </w:t>
      </w:r>
      <w:r w:rsidRPr="00B91155">
        <w:rPr>
          <w:rFonts w:cs="Arial"/>
          <w:iCs/>
          <w:sz w:val="22"/>
          <w:szCs w:val="22"/>
          <w:lang w:val="en-GB"/>
        </w:rPr>
        <w:t>Code</w:t>
      </w:r>
      <w:r w:rsidRPr="00B91155">
        <w:rPr>
          <w:rFonts w:cs="Arial"/>
          <w:sz w:val="22"/>
          <w:szCs w:val="22"/>
          <w:lang w:val="en-GB"/>
        </w:rPr>
        <w:t xml:space="preserve"> requires at least 60 days</w:t>
      </w:r>
      <w:r w:rsidR="00E12817">
        <w:rPr>
          <w:rFonts w:cs="Arial"/>
          <w:sz w:val="22"/>
          <w:szCs w:val="22"/>
          <w:lang w:val="en-GB"/>
        </w:rPr>
        <w:t>’</w:t>
      </w:r>
      <w:r w:rsidRPr="00B91155">
        <w:rPr>
          <w:rFonts w:cs="Arial"/>
          <w:sz w:val="22"/>
          <w:szCs w:val="22"/>
          <w:lang w:val="en-GB"/>
        </w:rPr>
        <w:t xml:space="preserve"> notice.  </w:t>
      </w:r>
    </w:p>
    <w:p w:rsidR="00B91155" w:rsidRPr="00B91155" w:rsidRDefault="00E12817" w:rsidP="00B91155">
      <w:pPr>
        <w:keepNext/>
        <w:spacing w:before="240" w:after="60"/>
        <w:ind w:left="720" w:right="300"/>
        <w:outlineLvl w:val="3"/>
        <w:rPr>
          <w:rFonts w:cs="Arial"/>
          <w:sz w:val="22"/>
          <w:szCs w:val="22"/>
        </w:rPr>
      </w:pPr>
      <w:r>
        <w:rPr>
          <w:rFonts w:cs="Arial"/>
          <w:sz w:val="22"/>
          <w:szCs w:val="22"/>
        </w:rPr>
        <w:t>Adjustment plan</w:t>
      </w:r>
    </w:p>
    <w:p w:rsidR="00B91155" w:rsidRPr="00B91155" w:rsidRDefault="00B91155" w:rsidP="00B91155">
      <w:pPr>
        <w:rPr>
          <w:rFonts w:cs="Arial"/>
          <w:sz w:val="22"/>
          <w:szCs w:val="22"/>
        </w:rPr>
      </w:pPr>
    </w:p>
    <w:p w:rsidR="00B91155" w:rsidRPr="00B91155" w:rsidRDefault="00B91155" w:rsidP="00B91155">
      <w:pPr>
        <w:tabs>
          <w:tab w:val="left" w:pos="720"/>
          <w:tab w:val="left" w:pos="1080"/>
        </w:tabs>
        <w:ind w:left="1440" w:right="300" w:hanging="720"/>
        <w:rPr>
          <w:rFonts w:eastAsia="Arial Unicode MS" w:cs="Arial"/>
          <w:color w:val="000000"/>
          <w:sz w:val="22"/>
          <w:szCs w:val="22"/>
        </w:rPr>
      </w:pPr>
      <w:r w:rsidRPr="00B91155">
        <w:rPr>
          <w:rFonts w:eastAsia="Arial Unicode MS" w:cs="Arial"/>
          <w:bCs/>
          <w:color w:val="000000"/>
          <w:sz w:val="22"/>
          <w:szCs w:val="22"/>
        </w:rPr>
        <w:t>54</w:t>
      </w:r>
      <w:r w:rsidRPr="00B91155">
        <w:rPr>
          <w:rFonts w:eastAsia="Arial Unicode MS" w:cs="Arial"/>
          <w:bCs/>
          <w:color w:val="000000"/>
          <w:sz w:val="22"/>
          <w:szCs w:val="22"/>
        </w:rPr>
        <w:tab/>
      </w:r>
      <w:r w:rsidRPr="00B91155">
        <w:rPr>
          <w:rFonts w:eastAsia="Arial Unicode MS" w:cs="Arial"/>
          <w:color w:val="000000"/>
          <w:sz w:val="22"/>
          <w:szCs w:val="22"/>
        </w:rPr>
        <w:t xml:space="preserve">(1) </w:t>
      </w:r>
      <w:r w:rsidRPr="00B91155">
        <w:rPr>
          <w:rFonts w:eastAsia="Arial Unicode MS" w:cs="Arial"/>
          <w:color w:val="000000"/>
          <w:sz w:val="22"/>
          <w:szCs w:val="22"/>
        </w:rPr>
        <w:tab/>
        <w:t xml:space="preserve">If an employer introduces or intends to introduce a </w:t>
      </w:r>
      <w:r w:rsidRPr="00B91155">
        <w:rPr>
          <w:rFonts w:eastAsia="Arial Unicode MS" w:cs="Arial"/>
          <w:b/>
          <w:color w:val="000000"/>
          <w:sz w:val="22"/>
          <w:szCs w:val="22"/>
        </w:rPr>
        <w:t xml:space="preserve">measure, policy, practice or change that affects the terms, conditions or security of employment of a significant number of employees </w:t>
      </w:r>
      <w:r w:rsidRPr="00B91155">
        <w:rPr>
          <w:rFonts w:eastAsia="Arial Unicode MS" w:cs="Arial"/>
          <w:color w:val="000000"/>
          <w:sz w:val="22"/>
          <w:szCs w:val="22"/>
        </w:rPr>
        <w:t xml:space="preserve">to whom a collective agreement applies, </w:t>
      </w:r>
      <w:r w:rsidRPr="00B91155">
        <w:rPr>
          <w:rFonts w:eastAsia="Arial Unicode MS" w:cs="Arial"/>
          <w:i/>
          <w:color w:val="000000"/>
          <w:sz w:val="22"/>
          <w:szCs w:val="22"/>
        </w:rPr>
        <w:t>[emphasis ours]</w:t>
      </w:r>
    </w:p>
    <w:p w:rsidR="00B91155" w:rsidRPr="00B91155" w:rsidRDefault="00B91155" w:rsidP="00B91155">
      <w:pPr>
        <w:tabs>
          <w:tab w:val="left" w:pos="720"/>
        </w:tabs>
        <w:ind w:left="720" w:right="300" w:hanging="690"/>
        <w:rPr>
          <w:rFonts w:eastAsia="Arial Unicode MS" w:cs="Arial"/>
          <w:color w:val="000000"/>
          <w:sz w:val="22"/>
          <w:szCs w:val="22"/>
        </w:rPr>
      </w:pPr>
    </w:p>
    <w:p w:rsidR="00B91155" w:rsidRPr="00B91155" w:rsidRDefault="00B91155" w:rsidP="00B91155">
      <w:pPr>
        <w:tabs>
          <w:tab w:val="left" w:pos="1440"/>
        </w:tabs>
        <w:ind w:left="2160" w:right="302" w:hanging="1440"/>
        <w:rPr>
          <w:rFonts w:eastAsia="Arial Unicode MS" w:cs="Arial"/>
          <w:color w:val="000000"/>
          <w:sz w:val="22"/>
          <w:szCs w:val="22"/>
        </w:rPr>
      </w:pPr>
      <w:r w:rsidRPr="00B91155">
        <w:rPr>
          <w:rFonts w:eastAsia="Arial Unicode MS" w:cs="Arial"/>
          <w:color w:val="000000"/>
          <w:sz w:val="22"/>
          <w:szCs w:val="22"/>
        </w:rPr>
        <w:t xml:space="preserve"> </w:t>
      </w:r>
      <w:r w:rsidRPr="00B91155">
        <w:rPr>
          <w:rFonts w:eastAsia="Arial Unicode MS" w:cs="Arial"/>
          <w:color w:val="000000"/>
          <w:sz w:val="22"/>
          <w:szCs w:val="22"/>
        </w:rPr>
        <w:tab/>
        <w:t xml:space="preserve">(a) </w:t>
      </w:r>
      <w:r w:rsidRPr="00B91155">
        <w:rPr>
          <w:rFonts w:eastAsia="Arial Unicode MS" w:cs="Arial"/>
          <w:color w:val="000000"/>
          <w:sz w:val="22"/>
          <w:szCs w:val="22"/>
        </w:rPr>
        <w:tab/>
        <w:t>the employer must give notice to the trade union that is party to the collective agreement at least 60 days before the date on which the measure, policy, practice or change is to be effected, and</w:t>
      </w:r>
    </w:p>
    <w:p w:rsidR="00B91155" w:rsidRPr="00B91155" w:rsidRDefault="00B91155" w:rsidP="00B91155">
      <w:pPr>
        <w:tabs>
          <w:tab w:val="left" w:pos="720"/>
          <w:tab w:val="left" w:pos="1440"/>
          <w:tab w:val="left" w:pos="2160"/>
        </w:tabs>
        <w:ind w:left="2160" w:right="300" w:hanging="720"/>
        <w:rPr>
          <w:rFonts w:eastAsia="Arial Unicode MS" w:cs="Arial"/>
          <w:color w:val="000000"/>
          <w:sz w:val="22"/>
          <w:szCs w:val="22"/>
        </w:rPr>
      </w:pPr>
      <w:r w:rsidRPr="00B91155">
        <w:rPr>
          <w:rFonts w:eastAsia="Arial Unicode MS" w:cs="Arial"/>
          <w:color w:val="000000"/>
          <w:sz w:val="22"/>
          <w:szCs w:val="22"/>
        </w:rPr>
        <w:lastRenderedPageBreak/>
        <w:t xml:space="preserve">(b) </w:t>
      </w:r>
      <w:r w:rsidRPr="00B91155">
        <w:rPr>
          <w:rFonts w:eastAsia="Arial Unicode MS" w:cs="Arial"/>
          <w:color w:val="000000"/>
          <w:sz w:val="22"/>
          <w:szCs w:val="22"/>
        </w:rPr>
        <w:tab/>
      </w:r>
      <w:proofErr w:type="gramStart"/>
      <w:r w:rsidRPr="00B91155">
        <w:rPr>
          <w:rFonts w:eastAsia="Arial Unicode MS" w:cs="Arial"/>
          <w:color w:val="000000"/>
          <w:sz w:val="22"/>
          <w:szCs w:val="22"/>
        </w:rPr>
        <w:t>after</w:t>
      </w:r>
      <w:proofErr w:type="gramEnd"/>
      <w:r w:rsidRPr="00B91155">
        <w:rPr>
          <w:rFonts w:eastAsia="Arial Unicode MS" w:cs="Arial"/>
          <w:color w:val="000000"/>
          <w:sz w:val="22"/>
          <w:szCs w:val="22"/>
        </w:rPr>
        <w:t xml:space="preserve"> notice has been given, the employer and trade union must meet, in good faith, and endeavor to develop an adjustment plan, which may include provisions respecting any of the following:</w:t>
      </w:r>
    </w:p>
    <w:p w:rsidR="00B91155" w:rsidRPr="00B91155" w:rsidRDefault="00B91155" w:rsidP="00B91155">
      <w:pPr>
        <w:tabs>
          <w:tab w:val="left" w:pos="720"/>
          <w:tab w:val="left" w:pos="1530"/>
        </w:tabs>
        <w:ind w:left="1350" w:right="300" w:hanging="330"/>
        <w:rPr>
          <w:rFonts w:eastAsia="Arial Unicode MS" w:cs="Arial"/>
          <w:color w:val="000000"/>
          <w:sz w:val="22"/>
          <w:szCs w:val="22"/>
        </w:rPr>
      </w:pPr>
    </w:p>
    <w:p w:rsidR="00B91155" w:rsidRPr="00B91155" w:rsidRDefault="00B91155" w:rsidP="00B91155">
      <w:pPr>
        <w:tabs>
          <w:tab w:val="left" w:pos="720"/>
          <w:tab w:val="left" w:pos="2700"/>
        </w:tabs>
        <w:ind w:left="2700" w:right="300" w:hanging="540"/>
        <w:rPr>
          <w:rFonts w:eastAsia="Arial Unicode MS" w:cs="Arial"/>
          <w:color w:val="000000"/>
          <w:sz w:val="22"/>
          <w:szCs w:val="22"/>
        </w:rPr>
      </w:pPr>
      <w:r w:rsidRPr="00B91155">
        <w:rPr>
          <w:rFonts w:eastAsia="Arial Unicode MS" w:cs="Arial"/>
          <w:color w:val="000000"/>
          <w:sz w:val="22"/>
          <w:szCs w:val="22"/>
        </w:rPr>
        <w:t xml:space="preserve">(i) </w:t>
      </w:r>
      <w:r w:rsidRPr="00B91155">
        <w:rPr>
          <w:rFonts w:eastAsia="Arial Unicode MS" w:cs="Arial"/>
          <w:color w:val="000000"/>
          <w:sz w:val="22"/>
          <w:szCs w:val="22"/>
        </w:rPr>
        <w:tab/>
      </w:r>
      <w:proofErr w:type="gramStart"/>
      <w:r w:rsidRPr="00B91155">
        <w:rPr>
          <w:rFonts w:eastAsia="Arial Unicode MS" w:cs="Arial"/>
          <w:color w:val="000000"/>
          <w:sz w:val="22"/>
          <w:szCs w:val="22"/>
        </w:rPr>
        <w:t>consideration</w:t>
      </w:r>
      <w:proofErr w:type="gramEnd"/>
      <w:r w:rsidRPr="00B91155">
        <w:rPr>
          <w:rFonts w:eastAsia="Arial Unicode MS" w:cs="Arial"/>
          <w:color w:val="000000"/>
          <w:sz w:val="22"/>
          <w:szCs w:val="22"/>
        </w:rPr>
        <w:t xml:space="preserve"> of alternatives to the proposed measure, policy, practice or change, including amendment of provisions in the collective agreement;</w:t>
      </w:r>
    </w:p>
    <w:p w:rsidR="00B91155" w:rsidRPr="00B91155" w:rsidRDefault="00B91155" w:rsidP="005207E7">
      <w:pPr>
        <w:tabs>
          <w:tab w:val="left" w:pos="720"/>
          <w:tab w:val="left" w:pos="2700"/>
        </w:tabs>
        <w:ind w:left="2700" w:right="300" w:hanging="540"/>
        <w:rPr>
          <w:rFonts w:eastAsia="Arial Unicode MS" w:cs="Arial"/>
          <w:color w:val="000000"/>
          <w:sz w:val="22"/>
          <w:szCs w:val="22"/>
        </w:rPr>
      </w:pPr>
      <w:r w:rsidRPr="00B91155">
        <w:rPr>
          <w:rFonts w:eastAsia="Arial Unicode MS" w:cs="Arial"/>
          <w:color w:val="000000"/>
          <w:sz w:val="22"/>
          <w:szCs w:val="22"/>
        </w:rPr>
        <w:t xml:space="preserve">(ii) </w:t>
      </w:r>
      <w:r w:rsidRPr="00B91155">
        <w:rPr>
          <w:rFonts w:eastAsia="Arial Unicode MS" w:cs="Arial"/>
          <w:color w:val="000000"/>
          <w:sz w:val="22"/>
          <w:szCs w:val="22"/>
        </w:rPr>
        <w:tab/>
      </w:r>
      <w:proofErr w:type="gramStart"/>
      <w:r w:rsidRPr="00B91155">
        <w:rPr>
          <w:rFonts w:eastAsia="Arial Unicode MS" w:cs="Arial"/>
          <w:color w:val="000000"/>
          <w:sz w:val="22"/>
          <w:szCs w:val="22"/>
        </w:rPr>
        <w:t>human</w:t>
      </w:r>
      <w:proofErr w:type="gramEnd"/>
      <w:r w:rsidRPr="00B91155">
        <w:rPr>
          <w:rFonts w:eastAsia="Arial Unicode MS" w:cs="Arial"/>
          <w:color w:val="000000"/>
          <w:sz w:val="22"/>
          <w:szCs w:val="22"/>
        </w:rPr>
        <w:t xml:space="preserve"> resource planning and employee counseling and retraining;</w:t>
      </w:r>
    </w:p>
    <w:p w:rsidR="00B91155" w:rsidRPr="00B91155" w:rsidRDefault="00B91155" w:rsidP="00B91155">
      <w:pPr>
        <w:tabs>
          <w:tab w:val="left" w:pos="720"/>
          <w:tab w:val="left" w:pos="1080"/>
          <w:tab w:val="left" w:pos="1530"/>
          <w:tab w:val="left" w:pos="2700"/>
        </w:tabs>
        <w:ind w:left="2160" w:right="300"/>
        <w:rPr>
          <w:rFonts w:eastAsia="Arial Unicode MS" w:cs="Arial"/>
          <w:color w:val="000000"/>
          <w:sz w:val="22"/>
          <w:szCs w:val="22"/>
        </w:rPr>
      </w:pPr>
      <w:r w:rsidRPr="00B91155">
        <w:rPr>
          <w:rFonts w:eastAsia="Arial Unicode MS" w:cs="Arial"/>
          <w:color w:val="000000"/>
          <w:sz w:val="22"/>
          <w:szCs w:val="22"/>
        </w:rPr>
        <w:t>(iii)</w:t>
      </w:r>
      <w:r w:rsidRPr="00B91155">
        <w:rPr>
          <w:rFonts w:eastAsia="Arial Unicode MS" w:cs="Arial"/>
          <w:color w:val="000000"/>
          <w:sz w:val="22"/>
          <w:szCs w:val="22"/>
        </w:rPr>
        <w:tab/>
      </w:r>
      <w:proofErr w:type="gramStart"/>
      <w:r w:rsidRPr="00B91155">
        <w:rPr>
          <w:rFonts w:eastAsia="Arial Unicode MS" w:cs="Arial"/>
          <w:color w:val="000000"/>
          <w:sz w:val="22"/>
          <w:szCs w:val="22"/>
        </w:rPr>
        <w:t>notice</w:t>
      </w:r>
      <w:proofErr w:type="gramEnd"/>
      <w:r w:rsidRPr="00B91155">
        <w:rPr>
          <w:rFonts w:eastAsia="Arial Unicode MS" w:cs="Arial"/>
          <w:color w:val="000000"/>
          <w:sz w:val="22"/>
          <w:szCs w:val="22"/>
        </w:rPr>
        <w:t xml:space="preserve"> of termination;</w:t>
      </w:r>
    </w:p>
    <w:p w:rsidR="00B91155" w:rsidRPr="00B91155" w:rsidRDefault="00B91155" w:rsidP="00B91155">
      <w:pPr>
        <w:tabs>
          <w:tab w:val="left" w:pos="720"/>
          <w:tab w:val="left" w:pos="1080"/>
          <w:tab w:val="left" w:pos="1530"/>
          <w:tab w:val="left" w:pos="2700"/>
        </w:tabs>
        <w:ind w:left="2160" w:right="300"/>
        <w:rPr>
          <w:rFonts w:eastAsia="Arial Unicode MS" w:cs="Arial"/>
          <w:color w:val="000000"/>
          <w:sz w:val="22"/>
          <w:szCs w:val="22"/>
        </w:rPr>
      </w:pPr>
      <w:r w:rsidRPr="00B91155">
        <w:rPr>
          <w:rFonts w:eastAsia="Arial Unicode MS" w:cs="Arial"/>
          <w:color w:val="000000"/>
          <w:sz w:val="22"/>
          <w:szCs w:val="22"/>
        </w:rPr>
        <w:t xml:space="preserve">(iv) </w:t>
      </w:r>
      <w:r w:rsidRPr="00B91155">
        <w:rPr>
          <w:rFonts w:eastAsia="Arial Unicode MS" w:cs="Arial"/>
          <w:color w:val="000000"/>
          <w:sz w:val="22"/>
          <w:szCs w:val="22"/>
        </w:rPr>
        <w:tab/>
      </w:r>
      <w:proofErr w:type="gramStart"/>
      <w:r w:rsidRPr="00B91155">
        <w:rPr>
          <w:rFonts w:eastAsia="Arial Unicode MS" w:cs="Arial"/>
          <w:color w:val="000000"/>
          <w:sz w:val="22"/>
          <w:szCs w:val="22"/>
        </w:rPr>
        <w:t>severance</w:t>
      </w:r>
      <w:proofErr w:type="gramEnd"/>
      <w:r w:rsidRPr="00B91155">
        <w:rPr>
          <w:rFonts w:eastAsia="Arial Unicode MS" w:cs="Arial"/>
          <w:color w:val="000000"/>
          <w:sz w:val="22"/>
          <w:szCs w:val="22"/>
        </w:rPr>
        <w:t xml:space="preserve"> pay;</w:t>
      </w:r>
    </w:p>
    <w:p w:rsidR="00B91155" w:rsidRPr="00B91155" w:rsidRDefault="00B91155" w:rsidP="00B91155">
      <w:pPr>
        <w:tabs>
          <w:tab w:val="left" w:pos="720"/>
          <w:tab w:val="left" w:pos="1080"/>
          <w:tab w:val="left" w:pos="1530"/>
          <w:tab w:val="left" w:pos="2700"/>
        </w:tabs>
        <w:ind w:left="2700" w:right="300" w:hanging="540"/>
        <w:rPr>
          <w:rFonts w:eastAsia="Arial Unicode MS" w:cs="Arial"/>
          <w:color w:val="000000"/>
          <w:sz w:val="22"/>
          <w:szCs w:val="22"/>
        </w:rPr>
      </w:pPr>
      <w:r w:rsidRPr="00B91155">
        <w:rPr>
          <w:rFonts w:eastAsia="Arial Unicode MS" w:cs="Arial"/>
          <w:color w:val="000000"/>
          <w:sz w:val="22"/>
          <w:szCs w:val="22"/>
        </w:rPr>
        <w:t>(v)</w:t>
      </w:r>
      <w:r w:rsidRPr="00B91155">
        <w:rPr>
          <w:rFonts w:eastAsia="Arial Unicode MS" w:cs="Arial"/>
          <w:color w:val="000000"/>
          <w:sz w:val="22"/>
          <w:szCs w:val="22"/>
        </w:rPr>
        <w:tab/>
      </w:r>
      <w:proofErr w:type="gramStart"/>
      <w:r w:rsidRPr="00B91155">
        <w:rPr>
          <w:rFonts w:eastAsia="Arial Unicode MS" w:cs="Arial"/>
          <w:color w:val="000000"/>
          <w:sz w:val="22"/>
          <w:szCs w:val="22"/>
        </w:rPr>
        <w:t>entitlement</w:t>
      </w:r>
      <w:proofErr w:type="gramEnd"/>
      <w:r w:rsidRPr="00B91155">
        <w:rPr>
          <w:rFonts w:eastAsia="Arial Unicode MS" w:cs="Arial"/>
          <w:color w:val="000000"/>
          <w:sz w:val="22"/>
          <w:szCs w:val="22"/>
        </w:rPr>
        <w:t xml:space="preserve"> to pension and other benefits including early retirement benefits;</w:t>
      </w:r>
    </w:p>
    <w:p w:rsidR="00B91155" w:rsidRPr="00B91155" w:rsidRDefault="00B91155" w:rsidP="00B91155">
      <w:pPr>
        <w:tabs>
          <w:tab w:val="left" w:pos="720"/>
          <w:tab w:val="left" w:pos="1080"/>
          <w:tab w:val="left" w:pos="1530"/>
          <w:tab w:val="left" w:pos="2700"/>
        </w:tabs>
        <w:ind w:left="2700" w:right="300" w:hanging="540"/>
        <w:rPr>
          <w:rFonts w:eastAsia="Arial Unicode MS" w:cs="Arial"/>
          <w:color w:val="000000"/>
          <w:sz w:val="22"/>
          <w:szCs w:val="22"/>
        </w:rPr>
      </w:pPr>
      <w:r w:rsidRPr="00B91155">
        <w:rPr>
          <w:rFonts w:eastAsia="Arial Unicode MS" w:cs="Arial"/>
          <w:color w:val="000000"/>
          <w:sz w:val="22"/>
          <w:szCs w:val="22"/>
        </w:rPr>
        <w:t>(vi)</w:t>
      </w:r>
      <w:r w:rsidRPr="00B91155">
        <w:rPr>
          <w:rFonts w:eastAsia="Arial Unicode MS" w:cs="Arial"/>
          <w:color w:val="000000"/>
          <w:sz w:val="22"/>
          <w:szCs w:val="22"/>
        </w:rPr>
        <w:tab/>
      </w:r>
      <w:proofErr w:type="gramStart"/>
      <w:r w:rsidRPr="00B91155">
        <w:rPr>
          <w:rFonts w:eastAsia="Arial Unicode MS" w:cs="Arial"/>
          <w:color w:val="000000"/>
          <w:sz w:val="22"/>
          <w:szCs w:val="22"/>
        </w:rPr>
        <w:t>a</w:t>
      </w:r>
      <w:proofErr w:type="gramEnd"/>
      <w:r w:rsidRPr="00B91155">
        <w:rPr>
          <w:rFonts w:eastAsia="Arial Unicode MS" w:cs="Arial"/>
          <w:color w:val="000000"/>
          <w:sz w:val="22"/>
          <w:szCs w:val="22"/>
        </w:rPr>
        <w:t xml:space="preserve"> bipartite process for overseeing the implementation of the adjustment plan.</w:t>
      </w:r>
    </w:p>
    <w:p w:rsidR="00B91155" w:rsidRPr="00B91155" w:rsidRDefault="00B91155" w:rsidP="00B91155">
      <w:pPr>
        <w:tabs>
          <w:tab w:val="left" w:pos="720"/>
          <w:tab w:val="left" w:pos="1080"/>
          <w:tab w:val="left" w:pos="1530"/>
        </w:tabs>
        <w:ind w:left="1530" w:right="300" w:hanging="690"/>
        <w:rPr>
          <w:rFonts w:eastAsia="Arial Unicode MS" w:cs="Arial"/>
          <w:color w:val="000000"/>
          <w:sz w:val="22"/>
          <w:szCs w:val="22"/>
        </w:rPr>
      </w:pPr>
    </w:p>
    <w:p w:rsidR="00B91155" w:rsidRPr="00B91155" w:rsidRDefault="00B91155" w:rsidP="00B91155">
      <w:pPr>
        <w:tabs>
          <w:tab w:val="left" w:pos="720"/>
        </w:tabs>
        <w:ind w:left="1440" w:right="300" w:hanging="360"/>
        <w:rPr>
          <w:rFonts w:eastAsia="Arial Unicode MS" w:cs="Arial"/>
          <w:color w:val="000000"/>
          <w:sz w:val="22"/>
          <w:szCs w:val="22"/>
        </w:rPr>
      </w:pPr>
      <w:r w:rsidRPr="00B91155">
        <w:rPr>
          <w:rFonts w:eastAsia="Arial Unicode MS" w:cs="Arial"/>
          <w:color w:val="000000"/>
          <w:sz w:val="22"/>
          <w:szCs w:val="22"/>
        </w:rPr>
        <w:t>(2)</w:t>
      </w:r>
      <w:r w:rsidRPr="00B91155">
        <w:rPr>
          <w:rFonts w:eastAsia="Arial Unicode MS" w:cs="Arial"/>
          <w:color w:val="000000"/>
          <w:sz w:val="22"/>
          <w:szCs w:val="22"/>
        </w:rPr>
        <w:tab/>
        <w:t>If, after meeting in accordance with subsection (1), the parties have agreed to an adjustment plan, it is enforceable as if it were part of the collective agreement between the employer and the trade union.</w:t>
      </w:r>
    </w:p>
    <w:p w:rsidR="00B91155" w:rsidRPr="00B91155" w:rsidRDefault="00B91155" w:rsidP="00B91155">
      <w:pPr>
        <w:tabs>
          <w:tab w:val="left" w:pos="720"/>
        </w:tabs>
        <w:ind w:left="720" w:right="300" w:hanging="360"/>
        <w:rPr>
          <w:rFonts w:eastAsia="Arial Unicode MS" w:cs="Arial"/>
          <w:color w:val="000000"/>
          <w:sz w:val="22"/>
          <w:szCs w:val="22"/>
        </w:rPr>
      </w:pPr>
    </w:p>
    <w:p w:rsidR="00B91155" w:rsidRPr="00B91155" w:rsidRDefault="00B91155" w:rsidP="00BF6B68">
      <w:pPr>
        <w:tabs>
          <w:tab w:val="left" w:pos="-1177"/>
        </w:tabs>
        <w:ind w:left="1440" w:hanging="360"/>
        <w:rPr>
          <w:rFonts w:cs="Arial"/>
          <w:i/>
          <w:iCs/>
          <w:sz w:val="22"/>
          <w:szCs w:val="22"/>
        </w:rPr>
      </w:pPr>
      <w:r w:rsidRPr="00B91155">
        <w:rPr>
          <w:rFonts w:cs="Arial"/>
          <w:sz w:val="22"/>
          <w:szCs w:val="22"/>
        </w:rPr>
        <w:t xml:space="preserve">(3) </w:t>
      </w:r>
      <w:r w:rsidRPr="00B91155">
        <w:rPr>
          <w:rFonts w:cs="Arial"/>
          <w:sz w:val="22"/>
          <w:szCs w:val="22"/>
        </w:rPr>
        <w:tab/>
        <w:t>Subsections (1) and (2) do not apply to the termination of the employment of employees exempted by section 65 of the</w:t>
      </w:r>
      <w:r w:rsidRPr="00B91155">
        <w:rPr>
          <w:rFonts w:cs="Arial"/>
          <w:i/>
          <w:iCs/>
          <w:sz w:val="22"/>
          <w:szCs w:val="22"/>
        </w:rPr>
        <w:t xml:space="preserve"> Employment Standards Act</w:t>
      </w:r>
      <w:r w:rsidRPr="00B91155">
        <w:rPr>
          <w:rFonts w:cs="Arial"/>
          <w:sz w:val="22"/>
          <w:szCs w:val="22"/>
        </w:rPr>
        <w:t xml:space="preserve"> from the application of section 64 of that Act.”</w:t>
      </w:r>
    </w:p>
    <w:p w:rsidR="00B91155" w:rsidRPr="00B91155" w:rsidRDefault="00B91155" w:rsidP="00B91155">
      <w:pPr>
        <w:tabs>
          <w:tab w:val="left" w:pos="-1177"/>
          <w:tab w:val="left" w:pos="-720"/>
          <w:tab w:val="left" w:pos="0"/>
          <w:tab w:val="left" w:pos="510"/>
          <w:tab w:val="left" w:pos="720"/>
          <w:tab w:val="left" w:pos="1011"/>
          <w:tab w:val="left" w:pos="1440"/>
          <w:tab w:val="left" w:pos="2160"/>
          <w:tab w:val="left" w:pos="2880"/>
          <w:tab w:val="left" w:pos="3600"/>
          <w:tab w:val="left" w:pos="4705"/>
        </w:tabs>
        <w:rPr>
          <w:rFonts w:cs="Arial"/>
          <w:sz w:val="22"/>
          <w:szCs w:val="22"/>
        </w:rPr>
      </w:pPr>
    </w:p>
    <w:p w:rsidR="00B91155" w:rsidRPr="00B91155" w:rsidRDefault="00B91155" w:rsidP="00B91155">
      <w:pPr>
        <w:numPr>
          <w:ilvl w:val="0"/>
          <w:numId w:val="6"/>
        </w:numPr>
        <w:tabs>
          <w:tab w:val="left" w:pos="-1177"/>
          <w:tab w:val="left" w:pos="-720"/>
          <w:tab w:val="left" w:pos="0"/>
          <w:tab w:val="left" w:pos="510"/>
          <w:tab w:val="left" w:pos="720"/>
          <w:tab w:val="left" w:pos="1011"/>
          <w:tab w:val="left" w:pos="1440"/>
          <w:tab w:val="left" w:pos="2160"/>
          <w:tab w:val="left" w:pos="2880"/>
          <w:tab w:val="left" w:pos="3600"/>
          <w:tab w:val="left" w:pos="4705"/>
        </w:tabs>
        <w:rPr>
          <w:rFonts w:cs="Arial"/>
          <w:b/>
          <w:bCs/>
          <w:i/>
          <w:iCs/>
          <w:sz w:val="22"/>
          <w:szCs w:val="22"/>
          <w:lang w:val="en-GB"/>
        </w:rPr>
      </w:pPr>
      <w:r w:rsidRPr="00B91155">
        <w:rPr>
          <w:rFonts w:cs="Arial"/>
          <w:b/>
          <w:bCs/>
          <w:i/>
          <w:iCs/>
          <w:sz w:val="22"/>
          <w:szCs w:val="22"/>
          <w:lang w:val="en-GB"/>
        </w:rPr>
        <w:t>Employment Standards Act (ESA)</w:t>
      </w:r>
    </w:p>
    <w:p w:rsidR="00B91155" w:rsidRPr="00B91155" w:rsidRDefault="00B91155" w:rsidP="00B91155">
      <w:pPr>
        <w:tabs>
          <w:tab w:val="left" w:pos="-1177"/>
          <w:tab w:val="left" w:pos="-720"/>
          <w:tab w:val="left" w:pos="0"/>
          <w:tab w:val="left" w:pos="510"/>
          <w:tab w:val="left" w:pos="720"/>
          <w:tab w:val="left" w:pos="1011"/>
          <w:tab w:val="left" w:pos="1440"/>
          <w:tab w:val="left" w:pos="2160"/>
          <w:tab w:val="left" w:pos="2880"/>
          <w:tab w:val="left" w:pos="3600"/>
          <w:tab w:val="left" w:pos="4705"/>
        </w:tabs>
        <w:rPr>
          <w:rFonts w:cs="Arial"/>
          <w:sz w:val="22"/>
          <w:szCs w:val="22"/>
        </w:rPr>
      </w:pPr>
    </w:p>
    <w:p w:rsidR="00B91155" w:rsidRPr="00B91155" w:rsidRDefault="00B91155" w:rsidP="00B91155">
      <w:pPr>
        <w:tabs>
          <w:tab w:val="left" w:pos="-1177"/>
          <w:tab w:val="left" w:pos="-720"/>
          <w:tab w:val="left" w:pos="0"/>
          <w:tab w:val="left" w:pos="510"/>
          <w:tab w:val="left" w:pos="720"/>
          <w:tab w:val="left" w:pos="1011"/>
          <w:tab w:val="left" w:pos="1440"/>
          <w:tab w:val="left" w:pos="2160"/>
          <w:tab w:val="left" w:pos="2880"/>
          <w:tab w:val="left" w:pos="3600"/>
          <w:tab w:val="left" w:pos="4705"/>
        </w:tabs>
        <w:ind w:left="510"/>
        <w:rPr>
          <w:rFonts w:cs="Arial"/>
          <w:i/>
          <w:sz w:val="22"/>
          <w:szCs w:val="22"/>
        </w:rPr>
      </w:pPr>
      <w:r w:rsidRPr="00B91155">
        <w:rPr>
          <w:rFonts w:cs="Arial"/>
          <w:sz w:val="22"/>
          <w:szCs w:val="22"/>
        </w:rPr>
        <w:t xml:space="preserve">Section 64 of the ESA outlines a process to be followed when the employment of </w:t>
      </w:r>
      <w:r w:rsidRPr="00B91155">
        <w:rPr>
          <w:rFonts w:cs="Arial"/>
          <w:b/>
          <w:sz w:val="22"/>
          <w:szCs w:val="22"/>
        </w:rPr>
        <w:t>50 or more employees</w:t>
      </w:r>
      <w:r w:rsidRPr="00B91155">
        <w:rPr>
          <w:rFonts w:cs="Arial"/>
          <w:sz w:val="22"/>
          <w:szCs w:val="22"/>
        </w:rPr>
        <w:t xml:space="preserve"> at a </w:t>
      </w:r>
      <w:r w:rsidRPr="00B91155">
        <w:rPr>
          <w:rFonts w:cs="Arial"/>
          <w:b/>
          <w:sz w:val="22"/>
          <w:szCs w:val="22"/>
        </w:rPr>
        <w:t>single location</w:t>
      </w:r>
      <w:r w:rsidRPr="00B91155">
        <w:rPr>
          <w:rFonts w:cs="Arial"/>
          <w:sz w:val="22"/>
          <w:szCs w:val="22"/>
        </w:rPr>
        <w:t xml:space="preserve"> is to be terminated </w:t>
      </w:r>
      <w:r w:rsidRPr="00B91155">
        <w:rPr>
          <w:rFonts w:cs="Arial"/>
          <w:b/>
          <w:sz w:val="22"/>
          <w:szCs w:val="22"/>
        </w:rPr>
        <w:t xml:space="preserve">within any </w:t>
      </w:r>
      <w:r w:rsidR="005207E7">
        <w:rPr>
          <w:rFonts w:cs="Arial"/>
          <w:b/>
          <w:sz w:val="22"/>
          <w:szCs w:val="22"/>
        </w:rPr>
        <w:t>two</w:t>
      </w:r>
      <w:r w:rsidRPr="00B91155">
        <w:rPr>
          <w:rFonts w:cs="Arial"/>
          <w:b/>
          <w:sz w:val="22"/>
          <w:szCs w:val="22"/>
        </w:rPr>
        <w:t xml:space="preserve"> month period</w:t>
      </w:r>
      <w:r w:rsidRPr="00B91155">
        <w:rPr>
          <w:rFonts w:cs="Arial"/>
          <w:sz w:val="22"/>
          <w:szCs w:val="22"/>
        </w:rPr>
        <w:t xml:space="preserve">.  A school or administration building is considered a single location. Therefore, the ESA only applies when 50 employees are being laid off from one school or building. </w:t>
      </w:r>
      <w:r w:rsidRPr="00B91155">
        <w:rPr>
          <w:rFonts w:cs="Arial"/>
          <w:i/>
          <w:sz w:val="22"/>
          <w:szCs w:val="22"/>
        </w:rPr>
        <w:t>[</w:t>
      </w:r>
      <w:proofErr w:type="gramStart"/>
      <w:r w:rsidRPr="00B91155">
        <w:rPr>
          <w:rFonts w:cs="Arial"/>
          <w:i/>
          <w:sz w:val="22"/>
          <w:szCs w:val="22"/>
        </w:rPr>
        <w:t>emphasis</w:t>
      </w:r>
      <w:proofErr w:type="gramEnd"/>
      <w:r w:rsidRPr="00B91155">
        <w:rPr>
          <w:rFonts w:cs="Arial"/>
          <w:i/>
          <w:sz w:val="22"/>
          <w:szCs w:val="22"/>
        </w:rPr>
        <w:t xml:space="preserve"> ours] </w:t>
      </w:r>
    </w:p>
    <w:p w:rsidR="00B91155" w:rsidRPr="00B91155" w:rsidRDefault="00B91155" w:rsidP="00B91155">
      <w:pPr>
        <w:rPr>
          <w:rFonts w:cs="Arial"/>
          <w:i/>
          <w:sz w:val="22"/>
          <w:szCs w:val="22"/>
        </w:rPr>
      </w:pPr>
    </w:p>
    <w:p w:rsidR="00B91155" w:rsidRPr="00B91155" w:rsidRDefault="00B91155" w:rsidP="00B91155">
      <w:pPr>
        <w:spacing w:after="240"/>
        <w:rPr>
          <w:sz w:val="28"/>
          <w:szCs w:val="28"/>
        </w:rPr>
      </w:pPr>
      <w:r w:rsidRPr="00B91155">
        <w:rPr>
          <w:b/>
          <w:sz w:val="28"/>
          <w:szCs w:val="28"/>
        </w:rPr>
        <w:t>Questions</w:t>
      </w:r>
    </w:p>
    <w:p w:rsidR="00B91155" w:rsidRPr="00B91155" w:rsidRDefault="00B91155" w:rsidP="00B91155">
      <w:pPr>
        <w:spacing w:after="360"/>
      </w:pPr>
      <w:r w:rsidRPr="00B91155">
        <w:rPr>
          <w:rFonts w:cs="Arial"/>
          <w:sz w:val="22"/>
          <w:szCs w:val="22"/>
        </w:rPr>
        <w:t xml:space="preserve">Should you require assistance or </w:t>
      </w:r>
      <w:r w:rsidRPr="00B91155">
        <w:rPr>
          <w:sz w:val="22"/>
          <w:szCs w:val="22"/>
        </w:rPr>
        <w:t>wish to discuss this issue further, please contact your BCPSEA liaison.</w:t>
      </w:r>
      <w:r w:rsidRPr="00B91155">
        <w:t xml:space="preserve"> </w:t>
      </w:r>
    </w:p>
    <w:p w:rsidR="00B91155" w:rsidRPr="00B91155" w:rsidRDefault="00B91155" w:rsidP="00B91155">
      <w:pPr>
        <w:rPr>
          <w:b/>
          <w:i/>
          <w:sz w:val="24"/>
          <w:szCs w:val="24"/>
        </w:rPr>
      </w:pPr>
      <w:r w:rsidRPr="00B91155">
        <w:rPr>
          <w:b/>
          <w:i/>
          <w:sz w:val="24"/>
          <w:szCs w:val="24"/>
        </w:rPr>
        <w:t>Distribution of this Bulletin</w:t>
      </w:r>
    </w:p>
    <w:p w:rsidR="00B91155" w:rsidRPr="00B91155" w:rsidRDefault="00B91155" w:rsidP="00B91155">
      <w:pPr>
        <w:rPr>
          <w:i/>
        </w:rPr>
      </w:pPr>
    </w:p>
    <w:p w:rsidR="00B91155" w:rsidRPr="00B91155" w:rsidRDefault="00B91155" w:rsidP="00B91155">
      <w:pPr>
        <w:widowControl w:val="0"/>
      </w:pPr>
      <w:r w:rsidRPr="00B91155">
        <w:rPr>
          <w:rFonts w:cs="Arial"/>
          <w:i/>
          <w:snapToGrid w:val="0"/>
          <w:sz w:val="22"/>
          <w:szCs w:val="22"/>
        </w:rPr>
        <w:t xml:space="preserve">Please ensure that this bulletin is circulated to all administrative staff in both the district office and schools </w:t>
      </w:r>
      <w:proofErr w:type="gramStart"/>
      <w:r w:rsidRPr="00B91155">
        <w:rPr>
          <w:rFonts w:cs="Arial"/>
          <w:i/>
          <w:snapToGrid w:val="0"/>
          <w:sz w:val="22"/>
          <w:szCs w:val="22"/>
        </w:rPr>
        <w:t>who</w:t>
      </w:r>
      <w:proofErr w:type="gramEnd"/>
      <w:r w:rsidRPr="00B91155">
        <w:rPr>
          <w:rFonts w:cs="Arial"/>
          <w:i/>
          <w:snapToGrid w:val="0"/>
          <w:sz w:val="22"/>
          <w:szCs w:val="22"/>
        </w:rPr>
        <w:t xml:space="preserve"> must rely on the collective agreement in the performance of their duties.</w:t>
      </w:r>
    </w:p>
    <w:p w:rsidR="001C05B2" w:rsidRPr="00D04FA8" w:rsidRDefault="001C05B2" w:rsidP="00B91155">
      <w:pPr>
        <w:rPr>
          <w:rFonts w:eastAsia="Calibri" w:cs="Arial"/>
          <w:b/>
          <w:sz w:val="32"/>
          <w:szCs w:val="32"/>
          <w:lang w:val="en-CA"/>
        </w:rPr>
      </w:pPr>
    </w:p>
    <w:sectPr w:rsidR="001C05B2" w:rsidRPr="00D04FA8" w:rsidSect="004F23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95" w:rsidRDefault="00520A95" w:rsidP="00936704">
      <w:r>
        <w:separator/>
      </w:r>
    </w:p>
  </w:endnote>
  <w:endnote w:type="continuationSeparator" w:id="0">
    <w:p w:rsidR="00520A95" w:rsidRDefault="00520A95" w:rsidP="0093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04" w:rsidRDefault="00B91155">
    <w:pPr>
      <w:tabs>
        <w:tab w:val="left" w:pos="0"/>
        <w:tab w:val="right" w:pos="3600"/>
        <w:tab w:val="right" w:pos="5760"/>
        <w:tab w:val="right" w:pos="7680"/>
        <w:tab w:val="right" w:pos="10080"/>
      </w:tabs>
      <w:spacing w:before="80" w:line="160" w:lineRule="exact"/>
      <w:rPr>
        <w:sz w:val="16"/>
      </w:rPr>
    </w:pPr>
    <w:r>
      <w:rPr>
        <w:noProof/>
        <w:lang w:val="en-CA" w:eastAsia="en-CA"/>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29845</wp:posOffset>
              </wp:positionV>
              <wp:extent cx="6400800" cy="0"/>
              <wp:effectExtent l="9525" t="10795" r="952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7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">
              <w10:anchorlock/>
            </v:line>
          </w:pict>
        </mc:Fallback>
      </mc:AlternateContent>
    </w:r>
    <w:r w:rsidR="00017DE6">
      <w:rPr>
        <w:sz w:val="16"/>
      </w:rPr>
      <w:tab/>
      <w:t xml:space="preserve">400 – 1333 West Broadway, Vancouver </w:t>
    </w:r>
    <w:proofErr w:type="gramStart"/>
    <w:r w:rsidR="00017DE6">
      <w:rPr>
        <w:sz w:val="16"/>
      </w:rPr>
      <w:t>BC  V6H</w:t>
    </w:r>
    <w:proofErr w:type="gramEnd"/>
    <w:r w:rsidR="00017DE6">
      <w:rPr>
        <w:sz w:val="16"/>
      </w:rPr>
      <w:t xml:space="preserve"> 4C1</w:t>
    </w:r>
    <w:r w:rsidR="00017DE6">
      <w:rPr>
        <w:sz w:val="16"/>
      </w:rPr>
      <w:tab/>
      <w:t xml:space="preserve">Tel: 604.730.0739 </w:t>
    </w:r>
    <w:r w:rsidR="00017DE6">
      <w:rPr>
        <w:sz w:val="16"/>
      </w:rPr>
      <w:tab/>
      <w:t xml:space="preserve">Fax: 604.730.0787 </w:t>
    </w:r>
    <w:r w:rsidR="00017DE6">
      <w:rPr>
        <w:sz w:val="16"/>
      </w:rPr>
      <w:tab/>
      <w:t>www.bcpsea.bc.ca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95" w:rsidRDefault="00520A95" w:rsidP="00936704">
      <w:r>
        <w:separator/>
      </w:r>
    </w:p>
  </w:footnote>
  <w:footnote w:type="continuationSeparator" w:id="0">
    <w:p w:rsidR="00520A95" w:rsidRDefault="00520A95" w:rsidP="00936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04" w:rsidRDefault="00017DE6" w:rsidP="002B6165">
    <w:pPr>
      <w:pStyle w:val="Header"/>
      <w:pBdr>
        <w:bottom w:val="single" w:sz="4" w:space="1" w:color="auto"/>
      </w:pBdr>
      <w:tabs>
        <w:tab w:val="clear" w:pos="4320"/>
        <w:tab w:val="clear" w:pos="8640"/>
        <w:tab w:val="right" w:pos="9360"/>
      </w:tabs>
    </w:pPr>
    <w:r>
      <w:t>@Issue</w:t>
    </w:r>
    <w:r>
      <w:tab/>
      <w:t xml:space="preserve"> Page </w:t>
    </w:r>
    <w:r w:rsidR="00F7181F">
      <w:rPr>
        <w:rStyle w:val="PageNumber"/>
      </w:rPr>
      <w:fldChar w:fldCharType="begin"/>
    </w:r>
    <w:r>
      <w:rPr>
        <w:rStyle w:val="PageNumber"/>
      </w:rPr>
      <w:instrText xml:space="preserve"> PAGE </w:instrText>
    </w:r>
    <w:r w:rsidR="00F7181F">
      <w:rPr>
        <w:rStyle w:val="PageNumber"/>
      </w:rPr>
      <w:fldChar w:fldCharType="separate"/>
    </w:r>
    <w:r w:rsidR="00B5348C">
      <w:rPr>
        <w:rStyle w:val="PageNumber"/>
        <w:noProof/>
      </w:rPr>
      <w:t>2</w:t>
    </w:r>
    <w:r w:rsidR="00F7181F">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04" w:rsidRDefault="009178BD">
    <w:pPr>
      <w:pStyle w:val="Header"/>
      <w:tabs>
        <w:tab w:val="clear" w:pos="4320"/>
        <w:tab w:val="clear" w:pos="8640"/>
      </w:tabs>
      <w:jc w:val="right"/>
    </w:pPr>
    <w:r>
      <w:rPr>
        <w:noProof/>
        <w:lang w:val="en-CA" w:eastAsia="en-CA"/>
      </w:rPr>
      <w:drawing>
        <wp:inline distT="0" distB="0" distL="0" distR="0">
          <wp:extent cx="6388080" cy="914324"/>
          <wp:effectExtent l="25400" t="0" r="0" b="0"/>
          <wp:docPr id="1" name="Picture 1" descr=":bmp headers 300dpi:@issue-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p headers 300dpi:@issue-header.bmp"/>
                  <pic:cNvPicPr>
                    <a:picLocks noChangeAspect="1" noChangeArrowheads="1"/>
                  </pic:cNvPicPr>
                </pic:nvPicPr>
                <pic:blipFill>
                  <a:blip r:embed="rId1"/>
                  <a:stretch>
                    <a:fillRect/>
                  </a:stretch>
                </pic:blipFill>
                <pic:spPr bwMode="auto">
                  <a:xfrm>
                    <a:off x="0" y="0"/>
                    <a:ext cx="6388080" cy="9143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915"/>
    <w:multiLevelType w:val="hybridMultilevel"/>
    <w:tmpl w:val="783632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053675"/>
    <w:multiLevelType w:val="hybridMultilevel"/>
    <w:tmpl w:val="BE067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FB21BE4"/>
    <w:multiLevelType w:val="hybridMultilevel"/>
    <w:tmpl w:val="12603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A8E3BD4"/>
    <w:multiLevelType w:val="hybridMultilevel"/>
    <w:tmpl w:val="7B7A6D0E"/>
    <w:lvl w:ilvl="0" w:tplc="52FAA9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259D6"/>
    <w:multiLevelType w:val="hybridMultilevel"/>
    <w:tmpl w:val="07D86462"/>
    <w:lvl w:ilvl="0" w:tplc="10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9181DE1"/>
    <w:multiLevelType w:val="hybridMultilevel"/>
    <w:tmpl w:val="CB18D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50">
      <o:colormru v:ext="edit" colors="#d144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66"/>
    <w:rsid w:val="00017DE6"/>
    <w:rsid w:val="001C05B2"/>
    <w:rsid w:val="002B6165"/>
    <w:rsid w:val="002C37C8"/>
    <w:rsid w:val="00431A91"/>
    <w:rsid w:val="004600DD"/>
    <w:rsid w:val="004F23F7"/>
    <w:rsid w:val="005207E7"/>
    <w:rsid w:val="00520A95"/>
    <w:rsid w:val="005A0059"/>
    <w:rsid w:val="005C3802"/>
    <w:rsid w:val="008826A8"/>
    <w:rsid w:val="008E4F4C"/>
    <w:rsid w:val="00917366"/>
    <w:rsid w:val="009178BD"/>
    <w:rsid w:val="00936704"/>
    <w:rsid w:val="00A23010"/>
    <w:rsid w:val="00B5348C"/>
    <w:rsid w:val="00B91155"/>
    <w:rsid w:val="00BF6B68"/>
    <w:rsid w:val="00CA44C7"/>
    <w:rsid w:val="00D04FA8"/>
    <w:rsid w:val="00E12817"/>
    <w:rsid w:val="00F7181F"/>
    <w:rsid w:val="00F975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14400"/>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704"/>
    <w:pPr>
      <w:tabs>
        <w:tab w:val="center" w:pos="4320"/>
        <w:tab w:val="right" w:pos="8640"/>
      </w:tabs>
    </w:pPr>
  </w:style>
  <w:style w:type="paragraph" w:styleId="Footer">
    <w:name w:val="footer"/>
    <w:basedOn w:val="Normal"/>
    <w:rsid w:val="00936704"/>
    <w:pPr>
      <w:tabs>
        <w:tab w:val="center" w:pos="4320"/>
        <w:tab w:val="right" w:pos="8640"/>
      </w:tabs>
    </w:pPr>
  </w:style>
  <w:style w:type="character" w:styleId="PageNumber">
    <w:name w:val="page number"/>
    <w:basedOn w:val="DefaultParagraphFont"/>
    <w:rsid w:val="00936704"/>
  </w:style>
  <w:style w:type="paragraph" w:styleId="BalloonText">
    <w:name w:val="Balloon Text"/>
    <w:basedOn w:val="Normal"/>
    <w:link w:val="BalloonTextChar"/>
    <w:uiPriority w:val="99"/>
    <w:semiHidden/>
    <w:unhideWhenUsed/>
    <w:rsid w:val="00520A95"/>
    <w:rPr>
      <w:rFonts w:ascii="Tahoma" w:hAnsi="Tahoma" w:cs="Tahoma"/>
      <w:sz w:val="16"/>
      <w:szCs w:val="16"/>
    </w:rPr>
  </w:style>
  <w:style w:type="character" w:customStyle="1" w:styleId="BalloonTextChar">
    <w:name w:val="Balloon Text Char"/>
    <w:basedOn w:val="DefaultParagraphFont"/>
    <w:link w:val="BalloonText"/>
    <w:uiPriority w:val="99"/>
    <w:semiHidden/>
    <w:rsid w:val="00520A95"/>
    <w:rPr>
      <w:rFonts w:ascii="Tahoma" w:hAnsi="Tahoma" w:cs="Tahoma"/>
      <w:sz w:val="16"/>
      <w:szCs w:val="16"/>
    </w:rPr>
  </w:style>
  <w:style w:type="paragraph" w:styleId="PlainText">
    <w:name w:val="Plain Text"/>
    <w:basedOn w:val="Normal"/>
    <w:link w:val="PlainTextChar"/>
    <w:uiPriority w:val="99"/>
    <w:unhideWhenUsed/>
    <w:rsid w:val="004F23F7"/>
    <w:rPr>
      <w:rFonts w:ascii="Consolas" w:eastAsia="Calibri" w:hAnsi="Consolas"/>
      <w:sz w:val="21"/>
      <w:szCs w:val="21"/>
    </w:rPr>
  </w:style>
  <w:style w:type="character" w:customStyle="1" w:styleId="PlainTextChar">
    <w:name w:val="Plain Text Char"/>
    <w:basedOn w:val="DefaultParagraphFont"/>
    <w:link w:val="PlainText"/>
    <w:uiPriority w:val="99"/>
    <w:rsid w:val="004F23F7"/>
    <w:rPr>
      <w:rFonts w:ascii="Consolas" w:eastAsia="Calibri" w:hAnsi="Consolas"/>
      <w:sz w:val="21"/>
      <w:szCs w:val="21"/>
    </w:rPr>
  </w:style>
  <w:style w:type="paragraph" w:styleId="ListParagraph">
    <w:name w:val="List Paragraph"/>
    <w:basedOn w:val="Normal"/>
    <w:uiPriority w:val="34"/>
    <w:qFormat/>
    <w:rsid w:val="004F23F7"/>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1C0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704"/>
    <w:pPr>
      <w:tabs>
        <w:tab w:val="center" w:pos="4320"/>
        <w:tab w:val="right" w:pos="8640"/>
      </w:tabs>
    </w:pPr>
  </w:style>
  <w:style w:type="paragraph" w:styleId="Footer">
    <w:name w:val="footer"/>
    <w:basedOn w:val="Normal"/>
    <w:rsid w:val="00936704"/>
    <w:pPr>
      <w:tabs>
        <w:tab w:val="center" w:pos="4320"/>
        <w:tab w:val="right" w:pos="8640"/>
      </w:tabs>
    </w:pPr>
  </w:style>
  <w:style w:type="character" w:styleId="PageNumber">
    <w:name w:val="page number"/>
    <w:basedOn w:val="DefaultParagraphFont"/>
    <w:rsid w:val="00936704"/>
  </w:style>
  <w:style w:type="paragraph" w:styleId="BalloonText">
    <w:name w:val="Balloon Text"/>
    <w:basedOn w:val="Normal"/>
    <w:link w:val="BalloonTextChar"/>
    <w:uiPriority w:val="99"/>
    <w:semiHidden/>
    <w:unhideWhenUsed/>
    <w:rsid w:val="00520A95"/>
    <w:rPr>
      <w:rFonts w:ascii="Tahoma" w:hAnsi="Tahoma" w:cs="Tahoma"/>
      <w:sz w:val="16"/>
      <w:szCs w:val="16"/>
    </w:rPr>
  </w:style>
  <w:style w:type="character" w:customStyle="1" w:styleId="BalloonTextChar">
    <w:name w:val="Balloon Text Char"/>
    <w:basedOn w:val="DefaultParagraphFont"/>
    <w:link w:val="BalloonText"/>
    <w:uiPriority w:val="99"/>
    <w:semiHidden/>
    <w:rsid w:val="00520A95"/>
    <w:rPr>
      <w:rFonts w:ascii="Tahoma" w:hAnsi="Tahoma" w:cs="Tahoma"/>
      <w:sz w:val="16"/>
      <w:szCs w:val="16"/>
    </w:rPr>
  </w:style>
  <w:style w:type="paragraph" w:styleId="PlainText">
    <w:name w:val="Plain Text"/>
    <w:basedOn w:val="Normal"/>
    <w:link w:val="PlainTextChar"/>
    <w:uiPriority w:val="99"/>
    <w:unhideWhenUsed/>
    <w:rsid w:val="004F23F7"/>
    <w:rPr>
      <w:rFonts w:ascii="Consolas" w:eastAsia="Calibri" w:hAnsi="Consolas"/>
      <w:sz w:val="21"/>
      <w:szCs w:val="21"/>
    </w:rPr>
  </w:style>
  <w:style w:type="character" w:customStyle="1" w:styleId="PlainTextChar">
    <w:name w:val="Plain Text Char"/>
    <w:basedOn w:val="DefaultParagraphFont"/>
    <w:link w:val="PlainText"/>
    <w:uiPriority w:val="99"/>
    <w:rsid w:val="004F23F7"/>
    <w:rPr>
      <w:rFonts w:ascii="Consolas" w:eastAsia="Calibri" w:hAnsi="Consolas"/>
      <w:sz w:val="21"/>
      <w:szCs w:val="21"/>
    </w:rPr>
  </w:style>
  <w:style w:type="paragraph" w:styleId="ListParagraph">
    <w:name w:val="List Paragraph"/>
    <w:basedOn w:val="Normal"/>
    <w:uiPriority w:val="34"/>
    <w:qFormat/>
    <w:rsid w:val="004F23F7"/>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1C0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s\AppData\Local\Microsoft\Windows\Temporary%20Internet%20Files\Content.Outlook\Z46EF8P7\@iss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@issue</Template>
  <TotalTime>3</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AtIssue - Criminal Record Check</vt:lpstr>
    </vt:vector>
  </TitlesOfParts>
  <Company>Microsoft</Company>
  <LinksUpToDate>false</LinksUpToDate>
  <CharactersWithSpaces>4191</CharactersWithSpaces>
  <SharedDoc>false</SharedDoc>
  <HyperlinkBase/>
  <HLinks>
    <vt:vector size="6" baseType="variant">
      <vt:variant>
        <vt:i4>1245204</vt:i4>
      </vt:variant>
      <vt:variant>
        <vt:i4>1618</vt:i4>
      </vt:variant>
      <vt:variant>
        <vt:i4>1026</vt:i4>
      </vt:variant>
      <vt:variant>
        <vt:i4>1</vt:i4>
      </vt:variant>
      <vt:variant>
        <vt:lpwstr>:bmp headers 300dpi:@issue-header.bmp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AtIssue - Criminal Record Check</dc:title>
  <dc:creator>BCPSEA</dc:creator>
  <cp:lastModifiedBy>Leanne Bowes</cp:lastModifiedBy>
  <cp:revision>3</cp:revision>
  <cp:lastPrinted>2004-04-15T17:46:00Z</cp:lastPrinted>
  <dcterms:created xsi:type="dcterms:W3CDTF">2016-03-29T16:32:00Z</dcterms:created>
  <dcterms:modified xsi:type="dcterms:W3CDTF">2016-03-29T16:34:00Z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